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AE238" w14:textId="1B6A3509" w:rsidR="00974B4C" w:rsidRPr="002A7727" w:rsidRDefault="00974B4C" w:rsidP="00974B4C">
      <w:pPr>
        <w:pStyle w:val="Heading2"/>
      </w:pPr>
      <w:bookmarkStart w:id="0" w:name="_Toc134044868"/>
      <w:r>
        <w:t>POH 105:</w:t>
      </w:r>
      <w:r w:rsidRPr="002A7727">
        <w:t xml:space="preserve"> Policy, Leadership</w:t>
      </w:r>
      <w:r>
        <w:t>,</w:t>
      </w:r>
      <w:r w:rsidRPr="002A7727">
        <w:t xml:space="preserve"> And Governance </w:t>
      </w:r>
      <w:proofErr w:type="gramStart"/>
      <w:r w:rsidRPr="002A7727">
        <w:t>In</w:t>
      </w:r>
      <w:proofErr w:type="gramEnd"/>
      <w:r w:rsidRPr="002A7727">
        <w:t xml:space="preserve"> Pandemics</w:t>
      </w:r>
      <w:bookmarkEnd w:id="0"/>
      <w:r w:rsidRPr="002A7727">
        <w:t xml:space="preserve"> </w:t>
      </w:r>
    </w:p>
    <w:p w14:paraId="5CF1CB68" w14:textId="08253366" w:rsidR="00974B4C" w:rsidRDefault="00974B4C" w:rsidP="00974B4C">
      <w:pPr>
        <w:spacing w:after="0" w:line="360" w:lineRule="auto"/>
        <w:jc w:val="both"/>
        <w:rPr>
          <w:rFonts w:cs="Times New Roman"/>
        </w:rPr>
      </w:pPr>
    </w:p>
    <w:p w14:paraId="1631743F" w14:textId="2C6435A1" w:rsidR="00974B4C" w:rsidRPr="00974B4C" w:rsidRDefault="00974B4C" w:rsidP="00974B4C">
      <w:pPr>
        <w:spacing w:after="0" w:line="360" w:lineRule="auto"/>
        <w:jc w:val="both"/>
        <w:rPr>
          <w:rFonts w:cs="Times New Roman"/>
          <w:b/>
        </w:rPr>
      </w:pPr>
      <w:r w:rsidRPr="00974B4C">
        <w:rPr>
          <w:rFonts w:cs="Times New Roman"/>
          <w:b/>
        </w:rPr>
        <w:t xml:space="preserve">Module Overview </w:t>
      </w:r>
    </w:p>
    <w:p w14:paraId="5ADBAE26" w14:textId="49E4788E" w:rsidR="00974B4C" w:rsidRPr="00E63992" w:rsidRDefault="00974B4C" w:rsidP="00974B4C">
      <w:pPr>
        <w:spacing w:after="0" w:line="360" w:lineRule="auto"/>
        <w:jc w:val="both"/>
        <w:rPr>
          <w:rFonts w:cs="Times New Roman"/>
        </w:rPr>
      </w:pPr>
      <w:r w:rsidRPr="62C593D6">
        <w:rPr>
          <w:rFonts w:cs="Times New Roman"/>
        </w:rPr>
        <w:t>Common concepts, leadership, governance, managing conflicts in health emergencies. Partnerships in health emergencies; benefits of partnerships in control of pandemics, factors affecting partnerships in health emergencies; procedures in establishing partnerships. Collaborations in health emergencies; advantages of collaborations; rules and regulations for setting up collaborations.</w:t>
      </w:r>
    </w:p>
    <w:p w14:paraId="38B4C158" w14:textId="147A4F93" w:rsidR="00974B4C" w:rsidRDefault="00974B4C" w:rsidP="00974B4C">
      <w:pPr>
        <w:spacing w:after="0" w:line="360" w:lineRule="auto"/>
        <w:jc w:val="both"/>
        <w:rPr>
          <w:rFonts w:cs="Times New Roman"/>
        </w:rPr>
      </w:pPr>
      <w:r w:rsidRPr="46C40184">
        <w:rPr>
          <w:rFonts w:cs="Times New Roman"/>
        </w:rPr>
        <w:t>Stakeholder mapping, importance</w:t>
      </w:r>
      <w:r w:rsidR="005A3118">
        <w:rPr>
          <w:rFonts w:cs="Times New Roman"/>
        </w:rPr>
        <w:t>,</w:t>
      </w:r>
      <w:bookmarkStart w:id="1" w:name="_GoBack"/>
      <w:bookmarkEnd w:id="1"/>
      <w:r w:rsidRPr="46C40184">
        <w:rPr>
          <w:rFonts w:cs="Times New Roman"/>
        </w:rPr>
        <w:t xml:space="preserve"> and the process; identification, analysis of </w:t>
      </w:r>
      <w:r w:rsidRPr="21226DE5">
        <w:rPr>
          <w:rFonts w:cs="Times New Roman"/>
        </w:rPr>
        <w:t>expertis</w:t>
      </w:r>
      <w:r w:rsidRPr="46C40184">
        <w:rPr>
          <w:rFonts w:cs="Times New Roman"/>
        </w:rPr>
        <w:t>e, willingness and value, mapping and prioritization.</w:t>
      </w:r>
    </w:p>
    <w:p w14:paraId="096A2922" w14:textId="77777777" w:rsidR="00974B4C" w:rsidRPr="003A4F83" w:rsidRDefault="00974B4C" w:rsidP="00974B4C">
      <w:pPr>
        <w:spacing w:after="0" w:line="360" w:lineRule="auto"/>
        <w:jc w:val="both"/>
        <w:rPr>
          <w:rFonts w:cs="Times New Roman"/>
          <w:sz w:val="6"/>
          <w:szCs w:val="24"/>
        </w:rPr>
      </w:pPr>
    </w:p>
    <w:p w14:paraId="48B8C0DD" w14:textId="77777777" w:rsidR="00974B4C" w:rsidRPr="00E63992" w:rsidRDefault="00974B4C" w:rsidP="00974B4C">
      <w:pPr>
        <w:spacing w:after="0" w:line="360" w:lineRule="auto"/>
        <w:jc w:val="both"/>
        <w:rPr>
          <w:rFonts w:cs="Times New Roman"/>
        </w:rPr>
      </w:pPr>
      <w:r w:rsidRPr="21226DE5">
        <w:rPr>
          <w:rFonts w:cs="Times New Roman"/>
        </w:rPr>
        <w:t xml:space="preserve">Overview of relevant Global sector policies; GHSA (IHR, JEE, PVS), ESR; GF-TADs; OH and tripartite arrangements (WHO-OIE-FAO), </w:t>
      </w:r>
      <w:r>
        <w:rPr>
          <w:rFonts w:cs="Times New Roman"/>
        </w:rPr>
        <w:t>S</w:t>
      </w:r>
      <w:r w:rsidRPr="21226DE5">
        <w:rPr>
          <w:rFonts w:cs="Times New Roman"/>
        </w:rPr>
        <w:t xml:space="preserve">endai framework; </w:t>
      </w:r>
      <w:r w:rsidRPr="358771C9">
        <w:rPr>
          <w:rFonts w:cs="Times New Roman"/>
        </w:rPr>
        <w:t>i</w:t>
      </w:r>
      <w:r w:rsidRPr="21226DE5">
        <w:rPr>
          <w:rFonts w:cs="Times New Roman"/>
        </w:rPr>
        <w:t xml:space="preserve">nstitutional arrangements (Global, Regional, National levels): Continental and regional policy instruments: African CDC, AU-IBAR, EAC; National Policy structures (Highlight Policies in some countries); </w:t>
      </w:r>
      <w:r w:rsidRPr="54949B86">
        <w:rPr>
          <w:rFonts w:cs="Times New Roman"/>
        </w:rPr>
        <w:t>i</w:t>
      </w:r>
      <w:r w:rsidRPr="21226DE5">
        <w:rPr>
          <w:rFonts w:cs="Times New Roman"/>
        </w:rPr>
        <w:t xml:space="preserve">nterrelationships between the different stakeholders and leadership; OH principles and concepts; OH approach; </w:t>
      </w:r>
      <w:r w:rsidRPr="01BEA6E0">
        <w:rPr>
          <w:rFonts w:cs="Times New Roman"/>
        </w:rPr>
        <w:t>n</w:t>
      </w:r>
      <w:r w:rsidRPr="21226DE5">
        <w:rPr>
          <w:rFonts w:cs="Times New Roman"/>
        </w:rPr>
        <w:t xml:space="preserve">ational policy and legal environment. </w:t>
      </w:r>
    </w:p>
    <w:p w14:paraId="72CBAB02" w14:textId="77777777" w:rsidR="00974B4C" w:rsidRPr="007D0DC1" w:rsidRDefault="00974B4C" w:rsidP="00974B4C">
      <w:pPr>
        <w:spacing w:after="0" w:line="360" w:lineRule="auto"/>
        <w:jc w:val="both"/>
        <w:rPr>
          <w:rFonts w:cs="Times New Roman"/>
          <w:b/>
          <w:sz w:val="8"/>
          <w:szCs w:val="24"/>
        </w:rPr>
      </w:pPr>
    </w:p>
    <w:p w14:paraId="0A6C6BEF" w14:textId="77777777" w:rsidR="00974B4C" w:rsidRPr="00E63992" w:rsidRDefault="00974B4C" w:rsidP="00974B4C">
      <w:pPr>
        <w:spacing w:after="0" w:line="360" w:lineRule="auto"/>
        <w:jc w:val="both"/>
        <w:rPr>
          <w:rFonts w:cs="Times New Roman"/>
          <w:b/>
          <w:szCs w:val="24"/>
        </w:rPr>
      </w:pPr>
      <w:r w:rsidRPr="00E63992">
        <w:rPr>
          <w:rFonts w:cs="Times New Roman"/>
          <w:b/>
          <w:szCs w:val="24"/>
        </w:rPr>
        <w:t>Mode of Delivery</w:t>
      </w:r>
    </w:p>
    <w:p w14:paraId="7C755B34" w14:textId="77777777" w:rsidR="00974B4C" w:rsidRDefault="00974B4C" w:rsidP="00974B4C">
      <w:pPr>
        <w:spacing w:after="0" w:line="360" w:lineRule="auto"/>
        <w:jc w:val="both"/>
        <w:rPr>
          <w:rFonts w:eastAsia="Times New Roman" w:cs="Times New Roman"/>
        </w:rPr>
      </w:pPr>
      <w:r w:rsidRPr="65A20AA4">
        <w:rPr>
          <w:rFonts w:eastAsia="Times New Roman" w:cs="Times New Roman"/>
        </w:rPr>
        <w:t>This includes lectures: problem-based learning using interactive tutorials, small group discussions and written assignments, plenary presentations; case studies, experiential learning through independent/reflective study and field visits and placements and online peer discussions using video clips and conferencing, case study and case series, tabletop exercises, field work, discussion One health animal human environment stakeholders as example of partnerships.</w:t>
      </w:r>
    </w:p>
    <w:p w14:paraId="3D38E09D" w14:textId="77777777" w:rsidR="00974B4C" w:rsidRPr="003A4F83" w:rsidRDefault="00974B4C" w:rsidP="00974B4C">
      <w:pPr>
        <w:spacing w:after="0" w:line="360" w:lineRule="auto"/>
        <w:jc w:val="both"/>
        <w:rPr>
          <w:rFonts w:eastAsia="Times New Roman" w:cs="Times New Roman"/>
          <w:sz w:val="6"/>
          <w:szCs w:val="24"/>
        </w:rPr>
      </w:pPr>
    </w:p>
    <w:p w14:paraId="4A0DB14A" w14:textId="77777777" w:rsidR="00974B4C" w:rsidRPr="00E63992" w:rsidRDefault="00974B4C" w:rsidP="00974B4C">
      <w:pPr>
        <w:spacing w:after="0" w:line="360" w:lineRule="auto"/>
        <w:jc w:val="both"/>
        <w:rPr>
          <w:rFonts w:cs="Times New Roman"/>
          <w:b/>
          <w:szCs w:val="24"/>
        </w:rPr>
      </w:pPr>
      <w:r w:rsidRPr="00E63992">
        <w:rPr>
          <w:rFonts w:cs="Times New Roman"/>
          <w:b/>
          <w:szCs w:val="24"/>
        </w:rPr>
        <w:t>Instructional Materials and/or Equipment</w:t>
      </w:r>
    </w:p>
    <w:p w14:paraId="0A573DF3" w14:textId="77777777" w:rsidR="00974B4C" w:rsidRPr="00E63992" w:rsidRDefault="00974B4C" w:rsidP="00974B4C">
      <w:pPr>
        <w:spacing w:after="0" w:line="360" w:lineRule="auto"/>
        <w:jc w:val="both"/>
        <w:rPr>
          <w:rFonts w:eastAsia="Times New Roman" w:cs="Times New Roman"/>
        </w:rPr>
      </w:pPr>
      <w:r w:rsidRPr="3C3957CD">
        <w:rPr>
          <w:rFonts w:eastAsia="Times New Roman" w:cs="Times New Roman"/>
          <w:i/>
        </w:rPr>
        <w:t>Materials:</w:t>
      </w:r>
      <w:r w:rsidRPr="3C3957CD">
        <w:rPr>
          <w:rFonts w:eastAsia="Times New Roman" w:cs="Times New Roman"/>
        </w:rPr>
        <w:t xml:space="preserve"> Lecture notes and slides, video clips, </w:t>
      </w:r>
      <w:r w:rsidRPr="4823A620">
        <w:rPr>
          <w:rFonts w:eastAsia="Times New Roman" w:cs="Times New Roman"/>
        </w:rPr>
        <w:t>h</w:t>
      </w:r>
      <w:r w:rsidRPr="3C3957CD">
        <w:rPr>
          <w:rFonts w:eastAsia="Times New Roman" w:cs="Times New Roman"/>
        </w:rPr>
        <w:t xml:space="preserve">andouts, case studies, </w:t>
      </w:r>
      <w:r w:rsidRPr="4823A620">
        <w:rPr>
          <w:rFonts w:eastAsia="Times New Roman" w:cs="Times New Roman"/>
        </w:rPr>
        <w:t>r</w:t>
      </w:r>
      <w:r w:rsidRPr="3C3957CD">
        <w:rPr>
          <w:rFonts w:eastAsia="Times New Roman" w:cs="Times New Roman"/>
        </w:rPr>
        <w:t>eference materials (</w:t>
      </w:r>
      <w:r w:rsidRPr="68E36EB8">
        <w:rPr>
          <w:rFonts w:eastAsia="Times New Roman" w:cs="Times New Roman"/>
        </w:rPr>
        <w:t>t</w:t>
      </w:r>
      <w:r>
        <w:rPr>
          <w:rFonts w:eastAsia="Times New Roman" w:cs="Times New Roman"/>
        </w:rPr>
        <w:t>extbooks</w:t>
      </w:r>
      <w:r w:rsidRPr="3C3957CD">
        <w:rPr>
          <w:rFonts w:eastAsia="Times New Roman" w:cs="Times New Roman"/>
        </w:rPr>
        <w:t xml:space="preserve">, journals, policy document-guidelines), institutional placements and field visits </w:t>
      </w:r>
    </w:p>
    <w:p w14:paraId="4FF0537E" w14:textId="77777777" w:rsidR="00974B4C" w:rsidRDefault="00974B4C" w:rsidP="00974B4C">
      <w:pPr>
        <w:spacing w:after="0" w:line="360" w:lineRule="auto"/>
        <w:jc w:val="both"/>
        <w:rPr>
          <w:rFonts w:eastAsia="Times New Roman" w:cs="Times New Roman"/>
        </w:rPr>
      </w:pPr>
      <w:r w:rsidRPr="1DCC47F1">
        <w:rPr>
          <w:rFonts w:eastAsia="Times New Roman" w:cs="Times New Roman"/>
          <w:i/>
        </w:rPr>
        <w:t>Equipment:</w:t>
      </w:r>
      <w:r w:rsidRPr="1DCC47F1">
        <w:rPr>
          <w:rFonts w:eastAsia="Times New Roman" w:cs="Times New Roman"/>
        </w:rPr>
        <w:t xml:space="preserve"> LCD projectors, laptops, white board, markers and flipcharts, LCD, p</w:t>
      </w:r>
      <w:r>
        <w:rPr>
          <w:rFonts w:eastAsia="Times New Roman" w:cs="Times New Roman"/>
        </w:rPr>
        <w:t>rinters</w:t>
      </w:r>
      <w:r w:rsidRPr="1DCC47F1">
        <w:rPr>
          <w:rFonts w:eastAsia="Times New Roman" w:cs="Times New Roman"/>
        </w:rPr>
        <w:t xml:space="preserve">, </w:t>
      </w:r>
      <w:r>
        <w:rPr>
          <w:rFonts w:eastAsia="Times New Roman" w:cs="Times New Roman"/>
        </w:rPr>
        <w:t>internet</w:t>
      </w:r>
      <w:r w:rsidRPr="1DCC47F1">
        <w:rPr>
          <w:rFonts w:eastAsia="Times New Roman" w:cs="Times New Roman"/>
        </w:rPr>
        <w:t xml:space="preserve"> access for e-resources, PDAs, mobile phones.</w:t>
      </w:r>
    </w:p>
    <w:p w14:paraId="51BFD5CD" w14:textId="77777777" w:rsidR="00974B4C" w:rsidRPr="003A4F83" w:rsidRDefault="00974B4C" w:rsidP="00974B4C">
      <w:pPr>
        <w:spacing w:after="0" w:line="360" w:lineRule="auto"/>
        <w:jc w:val="both"/>
        <w:rPr>
          <w:rFonts w:eastAsia="Times New Roman" w:cs="Times New Roman"/>
          <w:sz w:val="8"/>
          <w:szCs w:val="24"/>
        </w:rPr>
      </w:pPr>
    </w:p>
    <w:p w14:paraId="4779E8D2" w14:textId="77777777" w:rsidR="00974B4C" w:rsidRPr="00E63992" w:rsidRDefault="00974B4C" w:rsidP="00974B4C">
      <w:pPr>
        <w:spacing w:after="0" w:line="360" w:lineRule="auto"/>
        <w:jc w:val="both"/>
        <w:rPr>
          <w:rFonts w:cs="Times New Roman"/>
          <w:b/>
          <w:szCs w:val="24"/>
        </w:rPr>
      </w:pPr>
      <w:r w:rsidRPr="00E63992">
        <w:rPr>
          <w:rFonts w:cs="Times New Roman"/>
          <w:b/>
          <w:szCs w:val="24"/>
        </w:rPr>
        <w:t>Core Reference Materials</w:t>
      </w:r>
    </w:p>
    <w:p w14:paraId="2AE5A7D7" w14:textId="77777777" w:rsidR="00974B4C" w:rsidRDefault="00974B4C" w:rsidP="00974B4C">
      <w:pPr>
        <w:numPr>
          <w:ilvl w:val="0"/>
          <w:numId w:val="2"/>
        </w:numPr>
        <w:spacing w:after="0" w:line="360" w:lineRule="auto"/>
        <w:contextualSpacing/>
        <w:jc w:val="both"/>
        <w:rPr>
          <w:rFonts w:cs="Times New Roman"/>
          <w:szCs w:val="24"/>
        </w:rPr>
      </w:pPr>
      <w:proofErr w:type="spellStart"/>
      <w:r w:rsidRPr="00ED507A">
        <w:rPr>
          <w:rFonts w:cs="Times New Roman"/>
          <w:szCs w:val="24"/>
          <w:lang w:val="es-ES"/>
        </w:rPr>
        <w:t>Nohria</w:t>
      </w:r>
      <w:proofErr w:type="spellEnd"/>
      <w:r w:rsidRPr="00ED507A">
        <w:rPr>
          <w:rFonts w:cs="Times New Roman"/>
          <w:szCs w:val="24"/>
          <w:lang w:val="es-ES"/>
        </w:rPr>
        <w:t xml:space="preserve">, N., &amp; </w:t>
      </w:r>
      <w:proofErr w:type="spellStart"/>
      <w:r w:rsidRPr="00ED507A">
        <w:rPr>
          <w:rFonts w:cs="Times New Roman"/>
          <w:szCs w:val="24"/>
          <w:lang w:val="es-ES"/>
        </w:rPr>
        <w:t>Khurana</w:t>
      </w:r>
      <w:proofErr w:type="spellEnd"/>
      <w:r w:rsidRPr="00ED507A">
        <w:rPr>
          <w:rFonts w:cs="Times New Roman"/>
          <w:szCs w:val="24"/>
          <w:lang w:val="es-ES"/>
        </w:rPr>
        <w:t xml:space="preserve">, R. (Eds.). </w:t>
      </w:r>
      <w:r w:rsidRPr="00E63992">
        <w:rPr>
          <w:rFonts w:cs="Times New Roman"/>
          <w:szCs w:val="24"/>
        </w:rPr>
        <w:t xml:space="preserve">(2010). </w:t>
      </w:r>
      <w:r w:rsidRPr="00E63992">
        <w:rPr>
          <w:rFonts w:cs="Times New Roman"/>
          <w:i/>
          <w:iCs/>
          <w:szCs w:val="24"/>
        </w:rPr>
        <w:t>Handbook of leadership theory and practice</w:t>
      </w:r>
      <w:r w:rsidRPr="00E63992">
        <w:rPr>
          <w:rFonts w:cs="Times New Roman"/>
          <w:szCs w:val="24"/>
        </w:rPr>
        <w:t>. Harvard Business Press.</w:t>
      </w:r>
    </w:p>
    <w:p w14:paraId="4764BDFE" w14:textId="77777777" w:rsidR="00974B4C" w:rsidRPr="00A07C49" w:rsidRDefault="00974B4C" w:rsidP="00974B4C">
      <w:pPr>
        <w:numPr>
          <w:ilvl w:val="0"/>
          <w:numId w:val="2"/>
        </w:numPr>
        <w:spacing w:after="0" w:line="300" w:lineRule="auto"/>
        <w:contextualSpacing/>
        <w:jc w:val="both"/>
        <w:rPr>
          <w:rFonts w:cs="Times New Roman"/>
          <w:szCs w:val="24"/>
        </w:rPr>
      </w:pPr>
      <w:r w:rsidRPr="00A07C49">
        <w:rPr>
          <w:rFonts w:cs="Times New Roman"/>
          <w:szCs w:val="24"/>
        </w:rPr>
        <w:lastRenderedPageBreak/>
        <w:t>Cole, G. A. (2004) Management Theory and Practice. 6th Edition, Thomson Learning Bedford Row, London.</w:t>
      </w:r>
    </w:p>
    <w:p w14:paraId="7ED99FC6" w14:textId="77777777" w:rsidR="00974B4C" w:rsidRPr="003A4F83" w:rsidRDefault="00974B4C" w:rsidP="00974B4C">
      <w:pPr>
        <w:spacing w:after="0" w:line="360" w:lineRule="auto"/>
        <w:ind w:left="720"/>
        <w:contextualSpacing/>
        <w:jc w:val="both"/>
        <w:rPr>
          <w:rFonts w:cs="Times New Roman"/>
          <w:sz w:val="10"/>
          <w:szCs w:val="24"/>
        </w:rPr>
      </w:pPr>
    </w:p>
    <w:p w14:paraId="7DD35B59" w14:textId="77777777" w:rsidR="00974B4C" w:rsidRDefault="00974B4C" w:rsidP="00974B4C">
      <w:pPr>
        <w:spacing w:after="0" w:line="360" w:lineRule="auto"/>
        <w:jc w:val="both"/>
        <w:rPr>
          <w:rFonts w:cs="Times New Roman"/>
          <w:b/>
          <w:szCs w:val="24"/>
          <w:lang w:val="en-GB"/>
        </w:rPr>
      </w:pPr>
      <w:r w:rsidRPr="00E63992">
        <w:rPr>
          <w:rFonts w:cs="Times New Roman"/>
          <w:b/>
          <w:szCs w:val="24"/>
          <w:lang w:val="en-GB"/>
        </w:rPr>
        <w:t>Recommended Reference Materials</w:t>
      </w:r>
    </w:p>
    <w:p w14:paraId="30645F3E" w14:textId="77777777" w:rsidR="00974B4C" w:rsidRPr="006F6FA4" w:rsidRDefault="00974B4C" w:rsidP="00974B4C">
      <w:pPr>
        <w:pStyle w:val="ListParagraph"/>
        <w:numPr>
          <w:ilvl w:val="0"/>
          <w:numId w:val="1"/>
        </w:numPr>
        <w:spacing w:after="0"/>
        <w:ind w:left="720"/>
        <w:jc w:val="both"/>
        <w:rPr>
          <w:rFonts w:cs="Times New Roman"/>
          <w:b/>
          <w:szCs w:val="24"/>
          <w:lang w:val="en-GB"/>
        </w:rPr>
      </w:pPr>
      <w:r w:rsidRPr="006F6FA4">
        <w:rPr>
          <w:rFonts w:cs="Times New Roman"/>
          <w:color w:val="222222"/>
          <w:szCs w:val="24"/>
          <w:shd w:val="clear" w:color="auto" w:fill="FFFFFF"/>
        </w:rPr>
        <w:t>World Health Organization. (2022). Joint external evaluation tool: i</w:t>
      </w:r>
      <w:r>
        <w:rPr>
          <w:rFonts w:cs="Times New Roman"/>
          <w:color w:val="222222"/>
          <w:szCs w:val="24"/>
          <w:shd w:val="clear" w:color="auto" w:fill="FFFFFF"/>
        </w:rPr>
        <w:t>nternational health regulations (2005)</w:t>
      </w:r>
    </w:p>
    <w:p w14:paraId="15A69562" w14:textId="77777777" w:rsidR="00974B4C" w:rsidRPr="006F6FA4" w:rsidRDefault="00974B4C" w:rsidP="00974B4C">
      <w:pPr>
        <w:pStyle w:val="ListParagraph"/>
        <w:spacing w:after="0"/>
        <w:jc w:val="both"/>
        <w:rPr>
          <w:rFonts w:cs="Times New Roman"/>
          <w:b/>
          <w:szCs w:val="24"/>
          <w:lang w:val="en-GB"/>
        </w:rPr>
      </w:pPr>
      <w:r w:rsidRPr="006F6FA4">
        <w:rPr>
          <w:rFonts w:cs="Times New Roman"/>
          <w:szCs w:val="24"/>
        </w:rPr>
        <w:t xml:space="preserve">Available from: </w:t>
      </w:r>
      <w:hyperlink r:id="rId5" w:history="1">
        <w:r w:rsidRPr="006F6FA4">
          <w:rPr>
            <w:rFonts w:cs="Times New Roman"/>
            <w:color w:val="0000FF"/>
            <w:szCs w:val="24"/>
            <w:u w:val="single"/>
          </w:rPr>
          <w:t>http://www.who.int/ihr/publications/WHO_HSE_GCR_2016_2/en/</w:t>
        </w:r>
      </w:hyperlink>
      <w:r w:rsidRPr="006F6FA4">
        <w:rPr>
          <w:rFonts w:cs="Times New Roman"/>
          <w:szCs w:val="24"/>
        </w:rPr>
        <w:t>.</w:t>
      </w:r>
    </w:p>
    <w:p w14:paraId="32BD8B7F" w14:textId="77777777" w:rsidR="00974B4C" w:rsidRPr="006F6FA4" w:rsidRDefault="00974B4C" w:rsidP="00974B4C">
      <w:pPr>
        <w:widowControl w:val="0"/>
        <w:numPr>
          <w:ilvl w:val="0"/>
          <w:numId w:val="1"/>
        </w:numPr>
        <w:autoSpaceDE w:val="0"/>
        <w:autoSpaceDN w:val="0"/>
        <w:adjustRightInd w:val="0"/>
        <w:spacing w:after="0"/>
        <w:ind w:left="720"/>
        <w:jc w:val="both"/>
        <w:rPr>
          <w:rFonts w:eastAsia="Times New Roman" w:cs="Times New Roman"/>
          <w:color w:val="000000"/>
          <w:szCs w:val="24"/>
          <w:lang w:val="fr-FR"/>
        </w:rPr>
      </w:pPr>
      <w:r w:rsidRPr="006F6FA4">
        <w:rPr>
          <w:rFonts w:eastAsia="Times New Roman" w:cs="Times New Roman"/>
          <w:color w:val="000000"/>
          <w:szCs w:val="24"/>
        </w:rPr>
        <w:t xml:space="preserve">DC (2017) Local public health governance performance. </w:t>
      </w:r>
      <w:proofErr w:type="spellStart"/>
      <w:r w:rsidRPr="006F6FA4">
        <w:rPr>
          <w:rFonts w:eastAsia="Times New Roman" w:cs="Times New Roman"/>
          <w:color w:val="000000"/>
          <w:szCs w:val="24"/>
          <w:lang w:val="fr-FR"/>
        </w:rPr>
        <w:t>Assessment</w:t>
      </w:r>
      <w:proofErr w:type="spellEnd"/>
      <w:r w:rsidRPr="006F6FA4">
        <w:rPr>
          <w:rFonts w:eastAsia="Times New Roman" w:cs="Times New Roman"/>
          <w:color w:val="000000"/>
          <w:szCs w:val="24"/>
          <w:lang w:val="fr-FR"/>
        </w:rPr>
        <w:t xml:space="preserve"> Instrument version 2 </w:t>
      </w:r>
      <w:hyperlink r:id="rId6" w:history="1">
        <w:r w:rsidRPr="006F6FA4">
          <w:rPr>
            <w:rFonts w:eastAsia="Times New Roman" w:cs="Times New Roman"/>
            <w:color w:val="0000FF"/>
            <w:szCs w:val="24"/>
            <w:u w:val="single"/>
            <w:lang w:val="fr-FR"/>
          </w:rPr>
          <w:t>https://cdc.gov3</w:t>
        </w:r>
      </w:hyperlink>
    </w:p>
    <w:p w14:paraId="2C9D5823" w14:textId="77777777" w:rsidR="00974B4C" w:rsidRPr="006F6FA4" w:rsidRDefault="00974B4C" w:rsidP="00974B4C">
      <w:pPr>
        <w:widowControl w:val="0"/>
        <w:numPr>
          <w:ilvl w:val="0"/>
          <w:numId w:val="1"/>
        </w:numPr>
        <w:autoSpaceDE w:val="0"/>
        <w:autoSpaceDN w:val="0"/>
        <w:adjustRightInd w:val="0"/>
        <w:spacing w:after="0"/>
        <w:ind w:left="720"/>
        <w:jc w:val="both"/>
        <w:rPr>
          <w:rFonts w:eastAsia="Times New Roman" w:cs="Times New Roman"/>
          <w:color w:val="000000"/>
          <w:szCs w:val="24"/>
        </w:rPr>
      </w:pPr>
      <w:r w:rsidRPr="006F6FA4">
        <w:rPr>
          <w:rFonts w:cs="Times New Roman"/>
          <w:color w:val="222222"/>
          <w:szCs w:val="24"/>
          <w:shd w:val="clear" w:color="auto" w:fill="FFFFFF"/>
        </w:rPr>
        <w:t>Kouzes, J. M., &amp; Posner, B. Z. (2006). </w:t>
      </w:r>
      <w:r w:rsidRPr="006F6FA4">
        <w:rPr>
          <w:rFonts w:cs="Times New Roman"/>
          <w:i/>
          <w:iCs/>
          <w:color w:val="222222"/>
          <w:szCs w:val="24"/>
          <w:shd w:val="clear" w:color="auto" w:fill="FFFFFF"/>
        </w:rPr>
        <w:t>The leadership challenge</w:t>
      </w:r>
      <w:r w:rsidRPr="006F6FA4">
        <w:rPr>
          <w:rFonts w:cs="Times New Roman"/>
          <w:color w:val="222222"/>
          <w:szCs w:val="24"/>
          <w:shd w:val="clear" w:color="auto" w:fill="FFFFFF"/>
        </w:rPr>
        <w:t> (Vol. 3). John Wiley &amp; Sons.</w:t>
      </w:r>
    </w:p>
    <w:p w14:paraId="2B4AF7C1" w14:textId="77777777" w:rsidR="00974B4C" w:rsidRPr="006F6FA4" w:rsidRDefault="00974B4C" w:rsidP="00974B4C">
      <w:pPr>
        <w:numPr>
          <w:ilvl w:val="0"/>
          <w:numId w:val="1"/>
        </w:numPr>
        <w:spacing w:after="0"/>
        <w:ind w:left="720"/>
        <w:jc w:val="both"/>
        <w:rPr>
          <w:rFonts w:cs="Times New Roman"/>
          <w:szCs w:val="24"/>
          <w:lang w:val="en-GB"/>
        </w:rPr>
      </w:pPr>
      <w:r w:rsidRPr="006F6FA4">
        <w:rPr>
          <w:rFonts w:cs="Times New Roman"/>
          <w:noProof/>
          <w:szCs w:val="24"/>
        </w:rPr>
        <w:t xml:space="preserve">World Health Organization. (2010). Health System Governance. Retrieved from </w:t>
      </w:r>
      <w:hyperlink r:id="rId7" w:anchor="tab=tab_1" w:history="1">
        <w:r w:rsidRPr="006F6FA4">
          <w:rPr>
            <w:rStyle w:val="Hyperlink"/>
            <w:rFonts w:cs="Times New Roman"/>
            <w:noProof/>
            <w:szCs w:val="24"/>
          </w:rPr>
          <w:t>https://www.who.int/health-topics/health-systems-governance#tab=tab_1</w:t>
        </w:r>
      </w:hyperlink>
    </w:p>
    <w:p w14:paraId="760F7410" w14:textId="77777777" w:rsidR="00974B4C" w:rsidRPr="006F6FA4" w:rsidRDefault="00974B4C" w:rsidP="00974B4C">
      <w:pPr>
        <w:numPr>
          <w:ilvl w:val="0"/>
          <w:numId w:val="1"/>
        </w:numPr>
        <w:spacing w:after="0"/>
        <w:ind w:left="720"/>
        <w:jc w:val="both"/>
        <w:rPr>
          <w:rFonts w:cs="Times New Roman"/>
          <w:szCs w:val="24"/>
          <w:lang w:val="en-GB"/>
        </w:rPr>
      </w:pPr>
      <w:r w:rsidRPr="006F6FA4">
        <w:rPr>
          <w:rFonts w:cs="Times New Roman"/>
          <w:noProof/>
          <w:szCs w:val="24"/>
        </w:rPr>
        <w:t xml:space="preserve">Galer, J. B., Vriesendorp, S., &amp; Ellis, A. (2005). </w:t>
      </w:r>
      <w:r w:rsidRPr="006F6FA4">
        <w:rPr>
          <w:rFonts w:cs="Times New Roman"/>
          <w:i/>
          <w:iCs/>
          <w:noProof/>
          <w:szCs w:val="24"/>
        </w:rPr>
        <w:t>MANAGERS WHO LEAD; A Handbook for Improving Health Services.</w:t>
      </w:r>
      <w:r w:rsidRPr="006F6FA4">
        <w:rPr>
          <w:rFonts w:cs="Times New Roman"/>
          <w:noProof/>
          <w:szCs w:val="24"/>
        </w:rPr>
        <w:t xml:space="preserve"> Cambridge: Management Sciences for Health.</w:t>
      </w:r>
    </w:p>
    <w:p w14:paraId="7551770E" w14:textId="77777777" w:rsidR="004B2B29" w:rsidRDefault="004B2B29"/>
    <w:sectPr w:rsidR="004B2B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9081E"/>
    <w:multiLevelType w:val="hybridMultilevel"/>
    <w:tmpl w:val="1E7CF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B62B9E"/>
    <w:multiLevelType w:val="hybridMultilevel"/>
    <w:tmpl w:val="95349022"/>
    <w:lvl w:ilvl="0" w:tplc="E0049D54">
      <w:start w:val="1"/>
      <w:numFmt w:val="decimal"/>
      <w:lvlText w:val="%1."/>
      <w:lvlJc w:val="left"/>
      <w:pPr>
        <w:ind w:left="360" w:hanging="360"/>
      </w:pPr>
      <w:rPr>
        <w:rFonts w:ascii="Times New Roman" w:eastAsia="Calibri" w:hAnsi="Times New Roman" w:cs="Times New Roman"/>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4C"/>
    <w:rsid w:val="004B2B29"/>
    <w:rsid w:val="005A3118"/>
    <w:rsid w:val="00974B4C"/>
    <w:rsid w:val="00C55B5E"/>
    <w:rsid w:val="00DA3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88CD6"/>
  <w15:chartTrackingRefBased/>
  <w15:docId w15:val="{C88E411B-B92E-4F41-BCC1-81C76556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4B4C"/>
    <w:pPr>
      <w:spacing w:after="200" w:line="276" w:lineRule="auto"/>
    </w:pPr>
    <w:rPr>
      <w:rFonts w:ascii="Times New Roman" w:eastAsia="Calibri" w:hAnsi="Times New Roman" w:cs="Tunga"/>
      <w:sz w:val="24"/>
    </w:rPr>
  </w:style>
  <w:style w:type="paragraph" w:styleId="Heading1">
    <w:name w:val="heading 1"/>
    <w:basedOn w:val="Normal"/>
    <w:next w:val="Normal"/>
    <w:link w:val="Heading1Char"/>
    <w:uiPriority w:val="9"/>
    <w:qFormat/>
    <w:rsid w:val="00DA3EC6"/>
    <w:pPr>
      <w:keepNext/>
      <w:keepLines/>
      <w:spacing w:before="240" w:after="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qFormat/>
    <w:rsid w:val="00C55B5E"/>
    <w:pPr>
      <w:keepNext/>
      <w:keepLines/>
      <w:spacing w:before="40" w:after="0" w:line="240" w:lineRule="auto"/>
      <w:outlineLvl w:val="1"/>
    </w:pPr>
    <w:rPr>
      <w:b/>
      <w:color w:val="000000" w:themeColor="text1"/>
      <w:sz w:val="26"/>
      <w:szCs w:val="26"/>
    </w:rPr>
  </w:style>
  <w:style w:type="paragraph" w:styleId="Heading4">
    <w:name w:val="heading 4"/>
    <w:basedOn w:val="Normal"/>
    <w:next w:val="Normal"/>
    <w:link w:val="Heading4Char"/>
    <w:uiPriority w:val="9"/>
    <w:semiHidden/>
    <w:unhideWhenUsed/>
    <w:qFormat/>
    <w:rsid w:val="00DA3EC6"/>
    <w:pPr>
      <w:keepNext/>
      <w:keepLines/>
      <w:spacing w:before="40" w:after="0"/>
      <w:outlineLvl w:val="3"/>
    </w:pPr>
    <w:rPr>
      <w:rFonts w:asciiTheme="majorHAnsi" w:eastAsiaTheme="majorEastAsia" w:hAnsiTheme="majorHAnsi" w:cstheme="majorBidi"/>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Heading1"/>
    <w:link w:val="Style2Char"/>
    <w:autoRedefine/>
    <w:qFormat/>
    <w:rsid w:val="00DA3EC6"/>
  </w:style>
  <w:style w:type="character" w:customStyle="1" w:styleId="Style2Char">
    <w:name w:val="Style2 Char"/>
    <w:basedOn w:val="Heading1Char"/>
    <w:link w:val="Style2"/>
    <w:rsid w:val="00DA3EC6"/>
    <w:rPr>
      <w:rFonts w:asciiTheme="majorHAnsi" w:eastAsiaTheme="majorEastAsia" w:hAnsiTheme="majorHAnsi" w:cstheme="majorBidi"/>
      <w:color w:val="000000" w:themeColor="text1"/>
      <w:sz w:val="32"/>
      <w:szCs w:val="32"/>
    </w:rPr>
  </w:style>
  <w:style w:type="character" w:customStyle="1" w:styleId="Heading1Char">
    <w:name w:val="Heading 1 Char"/>
    <w:basedOn w:val="DefaultParagraphFont"/>
    <w:link w:val="Heading1"/>
    <w:uiPriority w:val="9"/>
    <w:rsid w:val="00DA3EC6"/>
    <w:rPr>
      <w:rFonts w:asciiTheme="majorHAnsi" w:eastAsiaTheme="majorEastAsia" w:hAnsiTheme="majorHAnsi" w:cstheme="majorBidi"/>
      <w:color w:val="000000" w:themeColor="text1"/>
      <w:sz w:val="32"/>
      <w:szCs w:val="32"/>
    </w:rPr>
  </w:style>
  <w:style w:type="paragraph" w:customStyle="1" w:styleId="Style3">
    <w:name w:val="Style3"/>
    <w:basedOn w:val="Heading1"/>
    <w:link w:val="Style3Char"/>
    <w:qFormat/>
    <w:rsid w:val="00DA3EC6"/>
  </w:style>
  <w:style w:type="character" w:customStyle="1" w:styleId="Style3Char">
    <w:name w:val="Style3 Char"/>
    <w:basedOn w:val="Heading1Char"/>
    <w:link w:val="Style3"/>
    <w:rsid w:val="00DA3EC6"/>
    <w:rPr>
      <w:rFonts w:asciiTheme="majorHAnsi" w:eastAsiaTheme="majorEastAsia" w:hAnsiTheme="majorHAnsi" w:cstheme="majorBidi"/>
      <w:color w:val="000000" w:themeColor="text1"/>
      <w:sz w:val="32"/>
      <w:szCs w:val="32"/>
    </w:rPr>
  </w:style>
  <w:style w:type="character" w:customStyle="1" w:styleId="Heading4Char">
    <w:name w:val="Heading 4 Char"/>
    <w:basedOn w:val="DefaultParagraphFont"/>
    <w:link w:val="Heading4"/>
    <w:uiPriority w:val="9"/>
    <w:semiHidden/>
    <w:rsid w:val="00DA3EC6"/>
    <w:rPr>
      <w:rFonts w:asciiTheme="majorHAnsi" w:eastAsiaTheme="majorEastAsia" w:hAnsiTheme="majorHAnsi" w:cstheme="majorBidi"/>
      <w:i/>
      <w:iCs/>
      <w:color w:val="000000" w:themeColor="text1"/>
    </w:rPr>
  </w:style>
  <w:style w:type="character" w:customStyle="1" w:styleId="Heading2Char">
    <w:name w:val="Heading 2 Char"/>
    <w:link w:val="Heading2"/>
    <w:uiPriority w:val="9"/>
    <w:rsid w:val="00C55B5E"/>
    <w:rPr>
      <w:rFonts w:ascii="Times New Roman" w:hAnsi="Times New Roman"/>
      <w:b/>
      <w:color w:val="000000" w:themeColor="text1"/>
      <w:sz w:val="26"/>
      <w:szCs w:val="26"/>
    </w:rPr>
  </w:style>
  <w:style w:type="paragraph" w:styleId="ListParagraph">
    <w:name w:val="List Paragraph"/>
    <w:basedOn w:val="Normal"/>
    <w:uiPriority w:val="34"/>
    <w:qFormat/>
    <w:rsid w:val="00974B4C"/>
    <w:pPr>
      <w:ind w:left="720"/>
      <w:contextualSpacing/>
    </w:pPr>
  </w:style>
  <w:style w:type="character" w:styleId="Hyperlink">
    <w:name w:val="Hyperlink"/>
    <w:uiPriority w:val="99"/>
    <w:unhideWhenUsed/>
    <w:rsid w:val="00974B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who.int/health-topics/health-systems-governan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dc.gov3" TargetMode="External"/><Relationship Id="rId5" Type="http://schemas.openxmlformats.org/officeDocument/2006/relationships/hyperlink" Target="http://www.who.int/ihr/publications/WHO_HSE_GCR_2016_2/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2730</Characters>
  <Application>Microsoft Office Word</Application>
  <DocSecurity>0</DocSecurity>
  <Lines>52</Lines>
  <Paragraphs>24</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Salvias</dc:creator>
  <cp:keywords/>
  <dc:description/>
  <cp:lastModifiedBy>Salvias</cp:lastModifiedBy>
  <cp:revision>2</cp:revision>
  <dcterms:created xsi:type="dcterms:W3CDTF">2024-04-16T09:47:00Z</dcterms:created>
  <dcterms:modified xsi:type="dcterms:W3CDTF">2024-04-16T09:49:00Z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7a2a3415-b292-4622-8235-2d09f9aa41f1</vt:lpwstr>
  </property>
</Properties>
</file>